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13BF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3BF1" w:rsidRDefault="00BE44F7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13BF1" w:rsidRDefault="00BE44F7">
            <w:pPr>
              <w:spacing w:after="0" w:line="240" w:lineRule="auto"/>
            </w:pPr>
            <w:r>
              <w:t>36071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3BF1" w:rsidRDefault="00BE44F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13BF1" w:rsidRDefault="00BE44F7">
            <w:pPr>
              <w:spacing w:after="0" w:line="240" w:lineRule="auto"/>
            </w:pPr>
            <w:r>
              <w:t>OPĆINA ZEMUNIK DONJI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13BF1" w:rsidRDefault="00BE44F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13BF1" w:rsidRDefault="00BE44F7">
            <w:pPr>
              <w:spacing w:after="0" w:line="240" w:lineRule="auto"/>
            </w:pPr>
            <w:r>
              <w:t>23</w:t>
            </w:r>
          </w:p>
        </w:tc>
      </w:tr>
    </w:tbl>
    <w:p w:rsidR="00113BF1" w:rsidRDefault="00BE44F7">
      <w:r>
        <w:br/>
      </w:r>
    </w:p>
    <w:p w:rsidR="00113BF1" w:rsidRDefault="00BE44F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13BF1" w:rsidRDefault="00BE44F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13BF1" w:rsidRDefault="00BE44F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2.895.783,96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2.878.715,63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2.166.989,18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2.364.551,12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728.794,78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514.164,51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70,5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695.056,21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390.811,32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56,2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1.298.411,27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1.444.237,13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111,2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603.355,06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1.053.425,81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174,6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6.636,14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6027,6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205.639,45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307.469,80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149,5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92.530,20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 xml:space="preserve">MANJAK PRIHODA I </w:t>
            </w:r>
            <w:r>
              <w:rPr>
                <w:b/>
                <w:sz w:val="18"/>
              </w:rPr>
              <w:t>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73.563,59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446.731,10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607,3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ostvaren je višak prihoda poslovanja ( šifra X001) koji će se rasporediti u narednom razdoblju za rashode poslovanja i nabavu nefinancijske imovine. Do manjka prihoda od nefinancijske imovine došlo je jer nisu ostvareni planirani p</w:t>
      </w:r>
      <w:r>
        <w:t xml:space="preserve">rihodi od prodaje nefinancijske imovine            ( zemljišta) čija se realizacija očekuje u 2026. godini. Višak prihoda od financijske imovine i zaduživanja u izvještajnom razdoblju ostvaren je jer je u 2025. godini realiziran kratkoročni kredit kod OTP </w:t>
      </w:r>
      <w:r>
        <w:t xml:space="preserve">banke u iznosu 400.000,00 eura čija je otplata na rok od godinu dana. Ostvaren je manjak prihoda i primitaka koji će se pokriti u </w:t>
      </w:r>
      <w:r>
        <w:lastRenderedPageBreak/>
        <w:t>narednom razdoblju od očekivanih prihoda od prodaje nefinancijske imovine i kapitalnih pomoći koji se predviđeni za realizacij</w:t>
      </w:r>
      <w:r>
        <w:t>u nabave nefinancijske imovine.</w:t>
      </w:r>
    </w:p>
    <w:p w:rsidR="00113BF1" w:rsidRDefault="00BE44F7">
      <w:r>
        <w:t> </w:t>
      </w:r>
    </w:p>
    <w:p w:rsidR="00113BF1" w:rsidRDefault="00BE44F7">
      <w:r>
        <w:br/>
      </w:r>
    </w:p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Porez na dohodak (šifre 6111 do 6116 - 6117 - </w:t>
            </w:r>
            <w:r>
              <w:rPr>
                <w:sz w:val="18"/>
              </w:rPr>
              <w:t>6119)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860.226,87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1.003.292,68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Porez na dohodak od nesamostalnog rada ostvaren je za 116,6 % više u odnosu na izvještajno razdoblje prethodne godine.  U izvještajnom razdoblju prihod je veći zbog bolje zaposlenosti, a odnose se na prihode Općine Zemunik Donji.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imovinu (šifre 6131 do 6135)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117.574,50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145.773,68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povremeni porezi na imovinu ostvareni su za 24 % više u odnosu na ostvareno u izvještajnom razdoblju prethodne godine. Prihod je veći zbog bolje naplate poreza na promet nekretnina , te poreza na kuće za odmor. Navedeni prihod je o</w:t>
      </w:r>
      <w:r>
        <w:t>dnosi se na prihode Općine Zemunik Donji.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117.218,92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145.376,67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Povremeni porezi na imovinu ostvareni su za 24 % više od ostvarenih prihoda u izvještajnom razdoblju prethodne godine. Prihod je veći zbog bolje naplate poreza na promet nekretnina 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 na promet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29.889,34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25.924,57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86,7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Porez na promet ostvaren je u iznosu 25.924,57 eura što je 86,7%  u odnosu na izvještajno razdoblje prethodne godine. Porez se odnosi na porez na potrošnju alkoholnih i bezalkoholnih pića.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449.380,37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50.988,00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11,3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Tekuće pomoći proračunu i izvanproračunskim korisnicima iz drugih proračuna ostvarene su u iznosu 50.988,00 eura a odnose se na pomoći fiskalne održivosti dječjeg vrtića , te tekuće pomoći iz županijskog proračuna za izgradnju nerazvrstanih cesta na područ</w:t>
      </w:r>
      <w:r>
        <w:t>ju općine Zemunik Donji.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proračunu i </w:t>
            </w:r>
            <w:r>
              <w:rPr>
                <w:sz w:val="18"/>
              </w:rPr>
              <w:t>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50.768,35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Kapitalne pomoći proračunu u izvještajnom razdoblju ostvarene su u iznosu 50.768,35 što je 25 % u odnosu na ostvareno prethodne godine. Pomoć se odnosi na kapitalnu pomoć izgradnje dječjeg igrališta u Zemuniku Gornjem u iznosu 19.959,15 eura, te nabavu opr</w:t>
      </w:r>
      <w:r>
        <w:t>eme i didaktičke opreme za dječji vrtić u iznosu 10.809,20 eura, te kapitalnu pomoć iz županijskog proračuna u iznosu 20.000,00 eura za izgradnju prometnica.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od izvanproračunskih korisnika (šifre 6341+6342)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89.401,69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56.080,52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62,7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Pomoći od izvanproračunskih korisnika odnose se na pomoć Županijske uprave za ceste u svrhu sufinanciranja dijela kolnika Ž6011  u Zemuniku Donjem.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353.267,63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Pomoći fiskalnog izravnanja ostvarene su u iznosu 353.267,63 eura . U izvještajnom razdoblju prethodne godine pomoći fiskalnog izravnanja evidentirane su na tekuće pomoći proračunu.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Tekuće pomoći proračunskim korisnicima iz proračuna koji im nije  odnose se na pomoći dječjem vrtiću "Zvjezdice" a ostvarene su u iznosu 1.769,50 eura. Pomoći se odnose na pomoći i </w:t>
      </w:r>
      <w:proofErr w:type="spellStart"/>
      <w:r>
        <w:t>zdržavnog</w:t>
      </w:r>
      <w:proofErr w:type="spellEnd"/>
      <w:r>
        <w:t xml:space="preserve"> i županijskog proračuna.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14.712,06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151.073,10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1026,9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Tekuće pomoći temeljem prijenosa EU sredstva odnose se na pomoć projekta "Zaželi - pomoć u kući" u iznosu 106.185,60 eura, te tekuće pomoći sufinanciranja izrade projekta za izgradnju dječjeg vrtića.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35.625,00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Kapitalne pomoći temeljem prijenosa EU sredstava u iznosu 35.625,00 eura odnose se na kapitalnu pomoć izgradnje svlačionica na školskom igralištu Zemunik Donji.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zakupa i iznajmljivanja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23.847,37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29.381,70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prihod je ostvaren u iznosu 29.159,85 eura , a odnosi se na prihod od najma poslovnih prostora te prihoda od zakupa poljoprivrednog zemljišta 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Naknada za korištenje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36.066,61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53.950,86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149,6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U izvještajnom razdoblju prihod je ostvaren u iznosu 53. 950,86 eura što je 49,6% više od ostvarenog u izvještajnom razdoblju prethodne godine. Prihod se odnosi na prihode za korištenje javne površine, prihode od naknade korištenja grobnog mjesta, prihode </w:t>
      </w:r>
      <w:r>
        <w:t>od naknade za eksploataciju mineralnih sirovina 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prihodi od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993,64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74,8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Prihod od nefinancijske imovine u izvještajnom razdoblju ostvaren je 25,2% manje u odnosu na izvještajno razdoblje prethodne godine. Prihod se odnosi na prihode od legalizacije građevinskih objekata na području općine Zemunik Donji.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34.268,54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37.928,95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prihod je ostvaren 10,7% više u odnosu na izvještajno razdoblje prethodne godine. Prihod se odnosi na prihode od naknada za taksi dozvole, uplatu naknade za održavanje groblja.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3.657,68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3.853,20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105,3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prihod je ostvaren u iznosu 3.853,20 eura a odnosi se na prihode prenamjene poljoprivrednog zemljišta u iznosu 215,45 eura, turističku pristojbu u iznosu 3.637,75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Mjesni samodoprinos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23.977,56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Prihodi od mjesnog samodoprinosa u izvještajnom razdoblju ostvareni su 601,11 eura što je 2,5% od ostvarenog u izvještajnom razdoblju prethodne godine. Prihod se odnosi na uplatu za katastarsku izmjeru na području naselja Zemunik Donji i naselja Zemunik Go</w:t>
      </w:r>
      <w:r>
        <w:t>rnji.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94.419,08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57.994,32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61,4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Prihodi su ostvareni u iznosu 57.994,32 eura a odnose se na prihode proračunskog korisnika od uplate roditelja za usluge vrtića. U odnosu na ostvareno u izvještajnom razdoblju prethodne godine do smanjenja je došlo jer u 2025. godini nije bilo ugovora o su</w:t>
      </w:r>
      <w:r>
        <w:t>financiranju boravka djece s drugim općinama koje su financirale boravak djece izvan mjesta boravka.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 i naknade (šifre 6531 do 6533)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733.692,91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804.097,59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109,6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Prihod od komunalnog doprinosa i naknade ostvaren je u iznosu 804.097,59 eura što je 9,6% više u odnosu na izvještajno razdoblje prethodne godine. U izvještajnom razdoblju prihod je veći zbog bolje </w:t>
      </w:r>
      <w:proofErr w:type="spellStart"/>
      <w:r>
        <w:t>naplativosi</w:t>
      </w:r>
      <w:proofErr w:type="spellEnd"/>
      <w:r>
        <w:t>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516.628,01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732.694,09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141,8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U izvještajnom razdoblju rashodi za plaće ostvareni su u iznosu 408.576,59 eura što je 59,5% više na ostvareno u izvještajnom razdoblju prethodne godine. Rashod je veći  jer u izvještajnom razdoblju je sedam novozaposlenih djelatnika  ( šest zaposlenih za </w:t>
      </w:r>
      <w:r>
        <w:t>"Projekt Zaželi - pomoć u kući" , jedan novozaposleni u JUO ). Troškovi plaća kod proračunskog korisnika dječjeg vrtića "Zvjezdice " ostvareni su u iznosu 324.117,50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37.917,68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32.604,17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Ostali rashodi za zaposlene ostvareni su u iznosu 37.917,68 eura od čega se 19.924,17 eura odnosi na rashode zaposle u Općini Zemunik Donji, te 12.680,00 eura na rashode zaposlenih kod proračunskog korisnika dječjeg vrtića "Zvjezdice".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lastRenderedPageBreak/>
        <w:t>Ostale naknade troškova zaposlenima ostvarene su u iznosu 1.641,60 eura. Rashod je ostvaren kod proračunskog korisnika, a odnosi se na naknade za korištenje privatnog automobila u službene svrhe.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</w:t>
            </w:r>
            <w:r>
              <w:rPr>
                <w:b/>
                <w:sz w:val="18"/>
              </w:rPr>
              <w:t>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37.750,47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45.540,13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rashod je ostvaren u iznosu 45.450,13 eura, od čega je 40.883,54 rashod Općine Zemunik Donji , te 4.656,59 rashod proračunskog korisnika. Do povećanja rashoda za energiju u odnosu na ostvareno u izvještajnom razdoblju prethodne god</w:t>
      </w:r>
      <w:r>
        <w:t>ine došlo je zbog novih priključaka građevinskih objekata na električnu energiju ( sportska dvorana) 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11.364,92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1050,8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rashod je ostvaren u iznosu 11.364,92 eura , a odnosi se na rashode za materijal za održavanje građevinskih objekata na području općine Zemunik Donji, te 61,49 eura za materijal za investicijsko održavanje kod proračunskog korisnik</w:t>
      </w:r>
      <w:r>
        <w:t>a dječjeg vrtića "Zvjezdice".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1.213,12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175,3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Rashodi za radnu odjeću i obuću su rashodi proračunskog korisnika te su 75,3% veći u odnosu na izvještajno razdoblje prethodne godine. Do povećanja je došlo jer je veći broj zaposlenih u 2025. godini.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190.226,06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321.771,22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169,2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tekuće godine rashod je izvršen za 69,2% više u odnosu na izvještajno razdoblje prethodne godine. Rashod se odnosi na održavanje građevinskih objekata u iznosu 74.375,00 eura, održavanje postrojenja i opreme u iznosu 9.562,50 eura,</w:t>
      </w:r>
      <w:r>
        <w:t xml:space="preserve"> uslugu održavanja prijevoznih sredstava u iznosu 1.409,05 eura, uslugu održavanja groblja u iznosu 72.368,42 eura, održavanje javne rasvjete u iznosu 14.556,25 eura, održavanje javnih površina u iznosu 8.937,50 eura, održavanje nerazvrstanih cesta u iznos</w:t>
      </w:r>
      <w:r>
        <w:t>u 117.000,00 eura, održavanje uređaja javne namjene u iznosu 16.250,00 eura, održavanje javnih zelenih površina u iznosu 16.250,00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</w:t>
            </w:r>
            <w:r>
              <w:rPr>
                <w:b/>
                <w:sz w:val="18"/>
              </w:rPr>
              <w:t>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10.634,51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14.230,72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133,8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Rashod je ostvaren 33,8% više u odnosu na izvještajno razdoblje prethodne godine. Rashod se odnosi na objavu oglasa i natječaja.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167.156,21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34.546,84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20,7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rashodi za komunalne usluge u izvještajnom razdoblju ostvaren je  u iznosu 33.886,09 eura što je 79,70% manje od ostvarenog u izvještajnom razdoblju prethodne godine. Rashod se odnosi na usluge deratizacije i dezinsekcije, odvoz otpada , te hvatanje i zbri</w:t>
      </w:r>
      <w:r>
        <w:t>njavanje pasa lutalica.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31.602,12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27.302,66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86,4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rashod za zakup i najam ostvaren je 13,6% manje u odnosu na izvještajno razdoblje prethodne godine. Rashod se odnosi na najam poslovnog prostora, najam opreme i šatora za održavanje manifestacija.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7.120,79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5.375,32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75,5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Troškovi zdravstvenih i veterinarskih usluga ostvareni su u iznosu 5.375,32 eura od čega se 5.325,32 eura odnosi na rashode proračunskog korisnika dok su 50,00 eura troškovi Općine Zemunik Donji. Rashod se odnosi na obvezne zdravstvene preglede zaposlenih.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96.756,60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164.361,60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169,9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Rashod je ostvaren za 69,9% više u odnosu na izvještajno razdoblje prethodne godine. Rashod se odnosi na autorske honorare za održavanje koncerata  u iznosu 89.898,89 eura, ugovore o djelu u iznosu 5.450,95 eura, usluge odvjetnika i pravnog savjetnika u iz</w:t>
      </w:r>
      <w:r>
        <w:t>nosu 16.965,48 eura, geodetsko katastarske usluge u iznosu 22.680,74 eura, trošak povjerenstva za postupak obnove zemljišne knjige u iznosu 16.925,67 eura, usluga prijevoda u iznosu 580,00 eura, usluge konzultanta za Projekt Zaželi- pomoć u kući u iznosu 7</w:t>
      </w:r>
      <w:r>
        <w:t xml:space="preserve">.031,12 </w:t>
      </w:r>
      <w:proofErr w:type="spellStart"/>
      <w:r>
        <w:t>eura.e</w:t>
      </w:r>
      <w:proofErr w:type="spellEnd"/>
      <w:r>
        <w:t xml:space="preserve"> odnosi na autorske honorare za održavanje koncerata  u iznosu 89.898,89 eura, ugovore o djelu u iznosu 5.450,95 eura, usluge odvjetnika i pravnog savjetnika u iznosu 16.965,48 eura, geodetsko katastarske usluge u iznosu 22.680,74 eura, troša</w:t>
      </w:r>
      <w:r>
        <w:t>k povjerenstva za postupak obnove zemljišne knjige u iznosu 16.925,67 eura, usluga prijevoda u iznosu 580,00 eura, usluge konzultanta za Projekt Zaželi- pomoć u kući u iznosu 7.031,12 eura, te 268,75 eura za ugovor o djelu kod dječjeg vrtića "Zvjezdice.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</w:t>
      </w:r>
      <w:r>
        <w:rPr>
          <w:sz w:val="28"/>
        </w:rPr>
        <w:t>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103.106,10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147.771,37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143,3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rashod je ostvaren 48,1% više u odnosu na ostvareno u izvještajnom razdoblju prethodne godine. Rashod se odnosi na grafičke i tiskarske usluge u iznosu 4.805,10 eura, usluge pri registraciji prijevoznih sredstva u iznosu 760,04 eur</w:t>
      </w:r>
      <w:r>
        <w:t>a, naknadu za energetsku uslugu u iznosu 9.787,53 eura, te ostale usluge u iznosu 129.495,76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</w:t>
            </w:r>
            <w:r>
              <w:rPr>
                <w:b/>
                <w:sz w:val="18"/>
              </w:rPr>
              <w:t>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8.062,27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18.262,13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226,5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Naknade za rad predstavničkih i izvršnih tijela , povjerenstava ostvaren je u iznosu 18.262,13 eura. Rashod se odnosi na </w:t>
      </w:r>
      <w:proofErr w:type="spellStart"/>
      <w:r>
        <w:t>vijćničke</w:t>
      </w:r>
      <w:proofErr w:type="spellEnd"/>
      <w:r>
        <w:t xml:space="preserve"> naknade članovima Općinskog vijeća, te naknade za rad povjerenstva za provedbu izbora.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</w:t>
            </w:r>
            <w:r>
              <w:rPr>
                <w:b/>
                <w:sz w:val="18"/>
              </w:rPr>
              <w:t>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12.983,81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11.362,88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87,5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Rashodi za reprezentaciju odnose se rashode kod Općine Zemunik Donji u iznosu 10.283,78 eura, te rashode kod proračunskog korisnika u iznosu 1.079,10 eura što je 12,5% manje u odnosu na izvještajno razdoblje prethodne godine.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3.411,81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5.428,91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159,1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lastRenderedPageBreak/>
        <w:t>U izvještajnom razdoblju rashodi su ostvareni za 59,1% više u odnosu na ostvareno u izvještajnom razdoblju prethodne godine. Rashodi u iznosu  3.865,78 eura rashodi su Općine Zemunik Donji , te 1.563,13 eura odnosi se na rashode proračunskog korisnika . Do</w:t>
      </w:r>
      <w:r>
        <w:t xml:space="preserve"> povećanja rashoda je došlo kod Općine Zemunik Donji za bankarske usluge podizanja kratkoročnog kredita kod OTP banke.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318.493,46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104.898,85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32,9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Subvencije trgovačkim društvima u javnom sektoru u izvještajnom razdoblju ostvaren je 67,10% manje u odnosu na izvještajno razdoblje prethodne godine. Rashod se odnosi na subvenciju trgovačkom društvu Zemunik odvodnja d.o.o. u svrhu građenja vodnih građevi</w:t>
      </w:r>
      <w:r>
        <w:t>na 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drugom proračunu i izvanproračunskim korisnicima (šifre 3631 do </w:t>
            </w:r>
            <w:r>
              <w:rPr>
                <w:sz w:val="18"/>
              </w:rPr>
              <w:t>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29.392,43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86.019,53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292,7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Pomoći drugom proračunu i izvanproračunskim korisnicima odnosi se na pomoći županijskom proračunu Zadarske županije za financiranje nastave u produženom boravku u OŠ Zemunik u iznosu 29.939,01 eura, te sufinanciranje Cesta zadarske županije za asfaltiranja</w:t>
      </w:r>
      <w:r>
        <w:t xml:space="preserve"> kolnika na području Zemunika Donjeg u iznosu 56. 080,52 eura 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r>
              <w:rPr>
                <w:sz w:val="18"/>
              </w:rPr>
              <w:t>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55.982,65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90.475,91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161,6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Naknade građanima i kućanstvima ostvarene su u iznosu 90.475,91 eura što je 61,6% više u odnosu na ostvareno razdoblje prethodne godine. Naknade se odnose na naknade za novorođenče , pomoć osobama s invaliditetom, jednokratne novčane pomoći obiteljima i ku</w:t>
      </w:r>
      <w:r>
        <w:t xml:space="preserve">ćanstvima, stipendije i školarine, , sufinanciranje edukacijsko-rehabilitacijskog programa za </w:t>
      </w:r>
      <w:r>
        <w:lastRenderedPageBreak/>
        <w:t>djecu s poteškoćama u razvoju, , isplata Božićnica umirovljenicima s područja općine Zemunik Donji,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56.598,73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45.858,34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Naknade građanima i kućanstvima u naravi u izvještajnom razdoblju ostvarene su u iznosu 45.858,34 eura a odnose se na sufinanciranje udžbenika osnovnoškolcima, sufinanciranje učeničkih pokaza, sufinanciranje autobusne linije Zadar- Zemunik Gornji, sufinanc</w:t>
      </w:r>
      <w:r>
        <w:t>iranje programa pomoći i njege u kući.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građanima i kućanstvima iz EU </w:t>
            </w:r>
            <w:r>
              <w:rPr>
                <w:sz w:val="18"/>
              </w:rPr>
              <w:t>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2.043,44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8.320,20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407,2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Naknade građanima i kućanstvima iz EU sredstava u izvještajnom razdoblju ostvarene su u iznosu 8.320,20 eura , a odnose se na dodjelu paketa za higijenu korisnicima "Projekt - Zaželi pomoć u kući" .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</w:t>
            </w:r>
            <w:r>
              <w:rPr>
                <w:b/>
                <w:sz w:val="18"/>
              </w:rPr>
              <w:t>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80.380,57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89.046,91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110,8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Tekuće donacije u novcu u izvještajnom razdoblju ostvarene su 10,8% više u odnosu na ostvareno u izvještajnom </w:t>
      </w:r>
      <w:proofErr w:type="spellStart"/>
      <w:r>
        <w:t>razdobju</w:t>
      </w:r>
      <w:proofErr w:type="spellEnd"/>
      <w:r>
        <w:t xml:space="preserve"> prethodne godine. Rashod se odnosi na donacije udrugama i političkim strankama u iznosu 15.319,03 eura, tekuće donacije sportskim društvi</w:t>
      </w:r>
      <w:r>
        <w:t>ma s područja općine Zemunik Donji u iznosu 61.791,34, donacije kulturnim društvima u iznosu 11.936,54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Kapitalne donacije neprofitnim organizacijama realizirane su u iznosu 6.500,00 eura, a odnosi se na kapitalnu donaciju vjerskim zajednicama u svrhu kupnje lampi za sakralni objekt u Zemuniku Gornjem.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517.665,82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nisu ostvareni rashodi za izgradnju poslovnih objekata. Ostvareni rashodi u izvještajnom razdoblju prethodne godine odnose se na izgradnju sportske dvorane.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212.597,13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799.240,29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375,9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Rashodi za ostale građevinske objekte ostvareni su u iznosu 799.240,29 eura a odnose se na izgradnju vodovodnih ogranaka u iznosu 69.871,25 eura, izgradnju energetskih i komunikacijskih vodova u iznosu 162.552,15 eura, izgradnju elektro mreže u iznosu 1.87</w:t>
      </w:r>
      <w:r>
        <w:t>5,00 eura, izgradnju svlačionica na školskom igralištu u iznosu 196.959,93 eura, izgradnju gospodarske zgrade- skladište u iznosu 263.999,46 eura, izgradnju pomoćnog igrališta uz glavno nogometno igralište u Zemuniku Donjem u iznosu 15.125,00 eura, izgradn</w:t>
      </w:r>
      <w:r>
        <w:t>ju javne rasvjete u iznosu 8.900,00 eura, izgradnju grobnica na mjesnim grobljima.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Rashod se odnosi na kupnju vatrogasnih aparata u iznosu 2.562,50 eura.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Sportska i glazbena oprema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74.152,05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84.209,25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Rashodi za nabavu sportske opreme realizirani su 13,6% više u odnosu na ostvareno u izvještajnom razdoblju prethodne godine. Rashod se odnosi na sportsku opremu za dječje igralište </w:t>
      </w:r>
      <w:proofErr w:type="spellStart"/>
      <w:r>
        <w:t>Srdelj</w:t>
      </w:r>
      <w:proofErr w:type="spellEnd"/>
      <w:r>
        <w:t>, sportsku opremu za dječje igralište Zemunik Gornji , te nabavu opre</w:t>
      </w:r>
      <w:r>
        <w:t>me za sportsku dvoranu.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u cestovnom prometu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33.064,33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 xml:space="preserve">Rashod za prijevozna sredstva u cestovnom prometu u izvještajnom razdoblju ostvaren je u iznosu 33.064,33 eura. Kupljen je službeni automobil Škoda </w:t>
      </w:r>
      <w:proofErr w:type="spellStart"/>
      <w:r>
        <w:t>KaroqFL</w:t>
      </w:r>
      <w:proofErr w:type="spellEnd"/>
      <w:r>
        <w:t>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104.563,75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261,4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lastRenderedPageBreak/>
        <w:t>Rashodi za dodatna ulaganja na građevinskim objektima u izvještajnom razdoblju realizirana su u iznosu 104.563,75 eura a odnose se na rashode za dodatna ulaganja na sportskim objektima  na području općine Zemunik Donji.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603.355,06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1.053.425,81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174,6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Do manjka prihoda od nefinancijske imovine došlo je jer u izvještajnom razdoblju nisu realizirani planirani  prihodi od prodaje građevinskog zemljišta čija se realizacija očekuje u narednom razdoblju.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Primljeni krediti od tuzemnih kreditnih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8443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U izvještajnom razdoblju realiziran je kratkoročni kredit kod OTP banke u iznosu 400.000,00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147.469,80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307.469,80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208,5</w:t>
            </w:r>
          </w:p>
        </w:tc>
      </w:tr>
    </w:tbl>
    <w:p w:rsidR="00113BF1" w:rsidRDefault="00113BF1">
      <w:pPr>
        <w:spacing w:after="0"/>
      </w:pPr>
    </w:p>
    <w:p w:rsidR="00113BF1" w:rsidRDefault="00BE44F7">
      <w:proofErr w:type="spellStart"/>
      <w:r>
        <w:t>Izadci</w:t>
      </w:r>
      <w:proofErr w:type="spellEnd"/>
      <w:r>
        <w:t xml:space="preserve"> za otplatu glavnice odnose se na otplatu glavnice po dugoročnom kreditu realiziranom kod OTP banke, te otplatu glavnice po kratkoročnom kreditu realiziranom kod OTP banke.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452.712,37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9.033,93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Višak prihoda i primitaka raspoloživ u slijedećem razdoblju koristiti će se za rashode poslovanja i rashode za nabavu nefinancijske imovine.</w:t>
      </w:r>
    </w:p>
    <w:p w:rsidR="00113BF1" w:rsidRDefault="00BE44F7">
      <w:r>
        <w:t> 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208.218,64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Stanje dospjelih obveza na kraju izvještajnog razdoblja iznosi 208.218,64 eura. Dospjele obveze odnose se na obveze za zaposlene u iznosu 38.576,01 eura ( plaća za 12/25) , obveze za materijalne rashode u iznosu 49.257,30 eura, obveze za financijske rashod</w:t>
      </w:r>
      <w:r>
        <w:t>e u iznosu 94,63 eura, obveze za naknade građanima i kućanstvima u iznosu 822,91 eura, obveze za donacije u iznosu 248,26 eura, ostale dospjele obveze u iznosu 10.555,52 eura, obveze za nabavu nefinancijske imovine u iznosu 90.308,89 eura. Stanje obveza ko</w:t>
      </w:r>
      <w:r>
        <w:t xml:space="preserve">d proračunskog korisnika na kraju izvještajnog razdoblja iznose 32.967,88 eura. Rashodi se odnose na rashode poslovanja u iznosu 32.578,43 eura, obveze za nabavu nefinancijske </w:t>
      </w:r>
      <w:proofErr w:type="spellStart"/>
      <w:r>
        <w:t>imovineu</w:t>
      </w:r>
      <w:proofErr w:type="spellEnd"/>
      <w:r>
        <w:t xml:space="preserve"> </w:t>
      </w:r>
      <w:proofErr w:type="spellStart"/>
      <w:r>
        <w:t>iznsu</w:t>
      </w:r>
      <w:proofErr w:type="spellEnd"/>
      <w:r>
        <w:t xml:space="preserve"> 270,00 eura, obveze za predujmove u iznosu 199,45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13B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13BF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113BF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1.204.920,33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13BF1" w:rsidRDefault="00BE44F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13BF1" w:rsidRDefault="00113BF1">
      <w:pPr>
        <w:spacing w:after="0"/>
      </w:pPr>
    </w:p>
    <w:p w:rsidR="00113BF1" w:rsidRDefault="00BE44F7">
      <w:r>
        <w:t>Stanje nedospjelih obveza odnosi se na obveze po dugoročnom kreditu realiziranom kod OTP banke u svrhu izgradnje sportske dvorane u Zemuniku Donjem, te obveze za kratkoročni kredit realiziran kod OTP banke u ukupnom iznosu od 1.171.952,45 eura , te nedospj</w:t>
      </w:r>
      <w:r>
        <w:t>ele obveze kod proračunskog korisnika u iznosu 32.967,88 eura.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56.</w:t>
      </w:r>
    </w:p>
    <w:p w:rsidR="00113BF1" w:rsidRDefault="00BE44F7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:rsidR="00113BF1" w:rsidRDefault="00BE44F7">
      <w:r>
        <w:lastRenderedPageBreak/>
        <w:t>Konsolidacija financijskih izvještaja Općine Zemunik Donji obuhvaća Općinu Zemunik Donji i njezinog proračunskog korisn</w:t>
      </w:r>
      <w:r>
        <w:t>ika Dječji vrtić "Zvjezdice"  Zemunik Donji. U procesu konsolidacije eliminirani su prihodi iskazani kod proračunskog korisnika na kontu 671 prihodi od nadležnog proračuna za financiranje redovne djelatnosti proračunskog korisnika, te rashodi kod proračuna</w:t>
      </w:r>
      <w:r>
        <w:t xml:space="preserve"> općine Zemunik Donji na kontu 367 Prijenosi proračunskim korisnicima iz nadležnog proračuna za financiranje redovne djelatnosti u ukupnom iznosu 399.515,10 eura</w:t>
      </w:r>
    </w:p>
    <w:p w:rsidR="00113BF1" w:rsidRDefault="00113BF1"/>
    <w:p w:rsidR="00113BF1" w:rsidRDefault="00BE44F7">
      <w:pPr>
        <w:keepNext/>
        <w:spacing w:line="240" w:lineRule="auto"/>
        <w:jc w:val="center"/>
      </w:pPr>
      <w:r>
        <w:rPr>
          <w:sz w:val="28"/>
        </w:rPr>
        <w:t>Bilješka 57.</w:t>
      </w:r>
    </w:p>
    <w:p w:rsidR="00113BF1" w:rsidRDefault="00BE44F7">
      <w:pPr>
        <w:spacing w:line="240" w:lineRule="auto"/>
        <w:jc w:val="both"/>
      </w:pPr>
      <w:r>
        <w:rPr>
          <w:b/>
        </w:rPr>
        <w:t>Manjak ili višak u poslovanju grupe i pregled strukture manjka/viška po proračun</w:t>
      </w:r>
      <w:r>
        <w:rPr>
          <w:b/>
        </w:rPr>
        <w:t xml:space="preserve">skim korisnicima </w:t>
      </w:r>
    </w:p>
    <w:p w:rsidR="00113BF1" w:rsidRDefault="00BE44F7">
      <w:r>
        <w:t>Nastali višak poslovanja od prihoda poslovanja u iznosu 514.164,51 eura se sastoji od viška prihoda poslovanja ostvarenog kod Općine Zemunik Donji u iznosu 536.263,94 eura i manjka prihoda poslovanja proračunskog korisnika Dječji vrtić "Z</w:t>
      </w:r>
      <w:r>
        <w:t>vjezdice" Zemunik Donji u iznosu 22.099,43 eura. Višak prihoda poslovanja Općine Zemunik Donji proizlazi iz  veće realizacije prihoda od poreza na imovinu, bolje realizacije prihoda od zakupa i korištenja nefinancijske imovine, bolje realizacije prihoda od</w:t>
      </w:r>
      <w:r>
        <w:t xml:space="preserve"> upravnih i administrativnih pristojbi a koji će se utrošiti na rashode poslovanja u narednom razdoblju. </w:t>
      </w:r>
      <w:proofErr w:type="spellStart"/>
      <w:r>
        <w:t>Manajk</w:t>
      </w:r>
      <w:proofErr w:type="spellEnd"/>
      <w:r>
        <w:t xml:space="preserve"> prihoda proračunskog korisnika Dječji vrtić "Zvjezdice" nastao je zbog knjiženja plaće za 12/2025 u troškove izvještajnog razdoblja. U izvještaj</w:t>
      </w:r>
      <w:r>
        <w:t>nom razdoblju tekuće godine do manjka prihoda od nefinancijske imovine došlo je jer nije ostvaren prihod od prodaje nefinancijske imovine čija se realizacija očekuje u narednom razdoblju. Manjak prihoda od nefinancijske imovine je u ukupnom iznosu od 1.053</w:t>
      </w:r>
      <w:r>
        <w:t>.425,81 eura odnosi se na manjak prihoda proračuna Općine Zemunik Donji u iznosu od 1.050.591,94 eura i manjka prihod od proračunskog korisnika dječji vrtić "Zvjezdice" u iznosu 2.833,87 eura. Višak prihoda od financijske imovine i zaduženja je u iznosu 92</w:t>
      </w:r>
      <w:r>
        <w:t>.530,20 ( X003) eura u ukupnom iznosu je višak Općine Zemunik Donji. U izvještajnom razdoblju ostvareni su izdaci za otplatu kredita koji su se kao primici realizirali ranijih godina, tako da u izvještajnom razdoblju tekuće godine imamo ostvarene izdatke z</w:t>
      </w:r>
      <w:r>
        <w:t>a otplatu kredita( konto 5).</w:t>
      </w:r>
    </w:p>
    <w:p w:rsidR="00113BF1" w:rsidRDefault="00113BF1"/>
    <w:sectPr w:rsidR="00113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F1"/>
    <w:rsid w:val="00113BF1"/>
    <w:rsid w:val="00B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37272-E033-491B-847C-D5EEA252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4863</Words>
  <Characters>27725</Characters>
  <Application>Microsoft Office Word</Application>
  <DocSecurity>0</DocSecurity>
  <Lines>231</Lines>
  <Paragraphs>65</Paragraphs>
  <ScaleCrop>false</ScaleCrop>
  <Company/>
  <LinksUpToDate>false</LinksUpToDate>
  <CharactersWithSpaces>32523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2026-02-19T06:42:00Z</dcterms:created>
  <dcterms:modified xsi:type="dcterms:W3CDTF">2026-02-19T06:42:00Z</dcterms:modified>
</cp:coreProperties>
</file>